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Libre Caslon Text" w:cs="Libre Caslon Text" w:eastAsia="Libre Caslon Text" w:hAnsi="Libre Caslon Text"/>
          <w:sz w:val="24"/>
          <w:szCs w:val="24"/>
        </w:rPr>
      </w:pPr>
      <w:bookmarkStart w:colFirst="0" w:colLast="0" w:name="_em4zmlvulodw" w:id="0"/>
      <w:bookmarkEnd w:id="0"/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4"/>
          <w:szCs w:val="24"/>
          <w:rtl w:val="0"/>
        </w:rPr>
        <w:t xml:space="preserve">SUMMARY</w:t>
        <w:tab/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Full-stack B2B marketing leader with 15+ years of experience. Orchestrates enterprise-scale demand generation and lifecycle performance, strategy, and pipeline growth across multiple verticals. Expert in account-based marketing, revenue operations, and full-funnel orchestration. Proven track record of scaling GTM systems, tens of millions in revenue, and leading cross-functional teams to high-performance execution.</w:t>
      </w:r>
    </w:p>
    <w:p w:rsidR="00000000" w:rsidDel="00000000" w:rsidP="00000000" w:rsidRDefault="00000000" w:rsidRPr="00000000" w14:paraId="00000002">
      <w:pPr>
        <w:keepNext w:val="0"/>
        <w:keepLines w:val="0"/>
        <w:spacing w:before="280" w:lineRule="auto"/>
        <w:rPr>
          <w:rFonts w:ascii="Libre Caslon Text" w:cs="Libre Caslon Text" w:eastAsia="Libre Caslon Text" w:hAnsi="Libre Caslon Text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Demand Generation &amp; Lifecycle Strategy</w:t>
        <w:tab/>
        <w:tab/>
        <w:t xml:space="preserve">ABM &amp; TAM Expansion</w:t>
        <w:br w:type="textWrapping"/>
        <w:t xml:space="preserve">Revenue Operations &amp; Full Funnel Marketing</w:t>
        <w:tab/>
        <w:t xml:space="preserve">PR, Paid Media &amp; Content Strategy</w:t>
        <w:br w:type="textWrapping"/>
        <w:t xml:space="preserve">Go-To-Market  Optimization</w:t>
        <w:tab/>
        <w:tab/>
        <w:tab/>
        <w:tab/>
        <w:t xml:space="preserve">Multi-Channel Campaign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rFonts w:ascii="Gill Sans" w:cs="Gill Sans" w:eastAsia="Gill Sans" w:hAnsi="Gill Sans"/>
          <w:b w:val="1"/>
          <w:bCs w:val="1"/>
          <w:color w:val="000000"/>
          <w:sz w:val="30"/>
          <w:szCs w:val="30"/>
        </w:rPr>
      </w:pPr>
      <w:bookmarkStart w:colFirst="0" w:colLast="0" w:name="_626oq0db4vjc" w:id="1"/>
      <w:bookmarkEnd w:id="1"/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30"/>
          <w:szCs w:val="30"/>
          <w:rtl w:val="0"/>
        </w:rPr>
        <w:t xml:space="preserve">RELEVANT PROFESSIONAL EXPERIENCE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LeadCoverage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Sr. Account Manager: Growth &amp; Revenue</w:t>
        <w:br w:type="textWrapping"/>
      </w: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2024 – Present | 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Atlanta, GA (Hybrid)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Influenced $20M+ closed-won per client per quarter; supported $78M+ quarterly pipeline via integrated demand programs.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Engineered revenue operation systems across HubSpot, Salesforce &amp; 6sense: led rebuild of scoring models, attribution logic, and automated dashboards.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Oversees building of ABM campaigns that captured net-new accounts and co-marketing wins with top-tier partners.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Led PR, thought-leadership campaigns driving 80M+ media impressions and high-impact awards.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Acted as executive strategy partner to CRO/CMO stakeholders across industrial, 3PL, ecommerce, and cold-chain verticals.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Managed team of 12 across 5 agency accounts, reporting directly to CEO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Elementum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Senior Lead Generation Manager</w:t>
        <w:br w:type="textWrapping"/>
      </w: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2022 – 2024 | 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Remote (HQ Salt Lake City, UT; Remote from Atlanta, GA)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Scaled pipeline from $3.2M to $9.3M; improved sales-qualified meetings by 43% in target verticals.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Owned $1M PPC budget: decreased CPM 60%, CPC 81%, CPA 20%; increased CRO 3% month-over-month.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Delivered 146 qualified opportunities in 202 days through lifecycle journey design, persona mapping.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Led GTM for ABM, SEO, SEM, events, and outbound SDR engagement across enterprise SaaS buyers.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Managed direct reports across content, paid media, analytics, and demand ops.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Reliant Technology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Senior Digital Marketing Strategist</w:t>
        <w:br w:type="textWrapping"/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2020 – 2022 | 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Atlanta, GA (Hybrid)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Drove 24% margin growth, 31% lead increase, 26% new users via SEO/SEM/PPC and content funnels.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Modernized lifecycle strategy for IT infrastructure maintenance solutions.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Managed team executing on PPC, lifecycle email, SEO, and analytics operations.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Creative Approach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Digital Marketing Strategist</w:t>
        <w:br w:type="textWrapping"/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2019 – 2020 |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Atlanta, GA (Hybrid)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Doubled open rates and boosted CTR by 136% through new email architecture.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Built CRM/CMS and webstore to enhance eCommerce experience and brand cohesion.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Managed SEO, SEM, content, and paid campaigns for B2B and B2C design services.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Time To Escape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Marketing Strategist (Consulting)</w:t>
        <w:br w:type="textWrapping"/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2018 – 2019 | 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Atlanta, GA (On-Site)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Elevated website to #1 SERP across multiple keywords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Grew AOV 30% through strategic seasonal and event marketing.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425.19685039370086" w:hanging="360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Owned SEO, paid ads, events, and marketing automation strategy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rFonts w:ascii="Libre Caslon Text" w:cs="Libre Caslon Text" w:eastAsia="Libre Caslon Text" w:hAnsi="Libre Caslon Text"/>
          <w:i w:val="1"/>
          <w:iCs w:val="1"/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For prior experience please see </w:t>
      </w:r>
      <w:hyperlink r:id="rId6">
        <w:r w:rsidDel="00000000" w:rsidR="00000000" w:rsidRPr="00000000">
          <w:rPr>
            <w:rFonts w:ascii="Libre Caslon Text" w:cs="Libre Caslon Text" w:eastAsia="Libre Caslon Text" w:hAnsi="Libre Caslon Text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Libre Caslon Text" w:cs="Libre Caslon Text" w:eastAsia="Libre Caslon Text" w:hAnsi="Libre Caslon Text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Gill Sans" w:cs="Gill Sans" w:eastAsia="Gill Sans" w:hAnsi="Gill Sans"/>
          <w:b w:val="1"/>
          <w:bCs w:val="1"/>
          <w:color w:val="000000"/>
          <w:sz w:val="24"/>
          <w:szCs w:val="24"/>
        </w:rPr>
      </w:pPr>
      <w:bookmarkStart w:colFirst="0" w:colLast="0" w:name="_aiuycfdo8lka" w:id="2"/>
      <w:bookmarkEnd w:id="2"/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425.19685039370086" w:hanging="360"/>
        <w:rPr>
          <w:sz w:val="24"/>
          <w:szCs w:val="24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2:1 Essex University, UK 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 B.A. (Hons) Contemporary Theatre Practice 2005–2008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425.19685039370086" w:hanging="360"/>
        <w:rPr>
          <w:sz w:val="20"/>
          <w:szCs w:val="20"/>
        </w:rPr>
      </w:pPr>
      <w:r w:rsidDel="00000000" w:rsidR="00000000" w:rsidRPr="00000000">
        <w:rPr>
          <w:rFonts w:ascii="Libre Caslon Text" w:cs="Libre Caslon Text" w:eastAsia="Libre Caslon Text" w:hAnsi="Libre Caslon Text"/>
          <w:b w:val="1"/>
          <w:bCs w:val="1"/>
          <w:sz w:val="24"/>
          <w:szCs w:val="24"/>
          <w:rtl w:val="0"/>
        </w:rPr>
        <w:t xml:space="preserve">2:1 Anglia Ruskin University, UK </w:t>
      </w:r>
      <w:r w:rsidDel="00000000" w:rsidR="00000000" w:rsidRPr="00000000">
        <w:rPr>
          <w:rFonts w:ascii="Libre Caslon Text" w:cs="Libre Caslon Text" w:eastAsia="Libre Caslon Text" w:hAnsi="Libre Caslon Text"/>
          <w:sz w:val="24"/>
          <w:szCs w:val="24"/>
          <w:rtl w:val="0"/>
        </w:rPr>
        <w:t xml:space="preserve">CertHE – Community Studies 2003–2004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Libre Caslon Text" w:cs="Libre Caslon Text" w:eastAsia="Libre Caslon Text" w:hAnsi="Libre Caslon Tex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566.9291338582677" w:top="566.9291338582677" w:left="680.3149606299213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Caslon Tex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Gill San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240" w:before="240" w:lineRule="auto"/>
      <w:jc w:val="center"/>
      <w:rPr>
        <w:rFonts w:ascii="Gill Sans" w:cs="Gill Sans" w:eastAsia="Gill Sans" w:hAnsi="Gill Sans"/>
        <w:sz w:val="28"/>
        <w:szCs w:val="28"/>
      </w:rPr>
    </w:pPr>
    <w:r w:rsidDel="00000000" w:rsidR="00000000" w:rsidRPr="00000000">
      <w:rPr>
        <w:rFonts w:ascii="Gill Sans" w:cs="Gill Sans" w:eastAsia="Gill Sans" w:hAnsi="Gill Sans"/>
        <w:b w:val="1"/>
        <w:bCs w:val="1"/>
        <w:sz w:val="36"/>
        <w:szCs w:val="36"/>
        <w:rtl w:val="0"/>
      </w:rPr>
      <w:t xml:space="preserve">Phil Mann</w:t>
    </w:r>
    <w:r w:rsidDel="00000000" w:rsidR="00000000" w:rsidRPr="00000000">
      <w:rPr>
        <w:rFonts w:ascii="Gill Sans" w:cs="Gill Sans" w:eastAsia="Gill Sans" w:hAnsi="Gill Sans"/>
        <w:b w:val="1"/>
        <w:bCs w:val="1"/>
        <w:sz w:val="29"/>
        <w:szCs w:val="29"/>
        <w:rtl w:val="0"/>
      </w:rPr>
      <w:br w:type="textWrapping"/>
    </w:r>
    <w:r w:rsidDel="00000000" w:rsidR="00000000" w:rsidRPr="00000000">
      <w:rPr>
        <w:rFonts w:ascii="Gill Sans" w:cs="Gill Sans" w:eastAsia="Gill Sans" w:hAnsi="Gill Sans"/>
        <w:sz w:val="29"/>
        <w:szCs w:val="29"/>
        <w:rtl w:val="0"/>
      </w:rPr>
      <w:t xml:space="preserve"> Senior Growth Marketing Strategist and Demand Generation Leader, Atlanta GA</w:t>
      <w:br w:type="textWrapping"/>
    </w:r>
    <w:r w:rsidDel="00000000" w:rsidR="00000000" w:rsidRPr="00000000">
      <w:rPr>
        <w:rFonts w:ascii="Gill Sans" w:cs="Gill Sans" w:eastAsia="Gill Sans" w:hAnsi="Gill Sans"/>
        <w:sz w:val="28"/>
        <w:szCs w:val="28"/>
        <w:rtl w:val="0"/>
      </w:rPr>
      <w:t xml:space="preserve"> </w:t>
    </w:r>
    <w:hyperlink r:id="rId1">
      <w:r w:rsidDel="00000000" w:rsidR="00000000" w:rsidRPr="00000000">
        <w:rPr>
          <w:rFonts w:ascii="Gill Sans" w:cs="Gill Sans" w:eastAsia="Gill Sans" w:hAnsi="Gill Sans"/>
          <w:color w:val="1155cc"/>
          <w:sz w:val="28"/>
          <w:szCs w:val="28"/>
          <w:u w:val="single"/>
          <w:rtl w:val="0"/>
        </w:rPr>
        <w:t xml:space="preserve">678-428-5973</w:t>
      </w:r>
    </w:hyperlink>
    <w:r w:rsidDel="00000000" w:rsidR="00000000" w:rsidRPr="00000000">
      <w:rPr>
        <w:rFonts w:ascii="Gill Sans" w:cs="Gill Sans" w:eastAsia="Gill Sans" w:hAnsi="Gill Sans"/>
        <w:sz w:val="28"/>
        <w:szCs w:val="28"/>
        <w:rtl w:val="0"/>
      </w:rPr>
      <w:t xml:space="preserve"> | </w:t>
    </w:r>
    <w:hyperlink r:id="rId2">
      <w:r w:rsidDel="00000000" w:rsidR="00000000" w:rsidRPr="00000000">
        <w:rPr>
          <w:rFonts w:ascii="Gill Sans" w:cs="Gill Sans" w:eastAsia="Gill Sans" w:hAnsi="Gill Sans"/>
          <w:color w:val="1155cc"/>
          <w:sz w:val="28"/>
          <w:szCs w:val="28"/>
          <w:u w:val="single"/>
          <w:rtl w:val="0"/>
        </w:rPr>
        <w:t xml:space="preserve">hello@phil-mann.com</w:t>
      </w:r>
    </w:hyperlink>
    <w:r w:rsidDel="00000000" w:rsidR="00000000" w:rsidRPr="00000000">
      <w:rPr>
        <w:rFonts w:ascii="Gill Sans" w:cs="Gill Sans" w:eastAsia="Gill Sans" w:hAnsi="Gill Sans"/>
        <w:sz w:val="28"/>
        <w:szCs w:val="28"/>
        <w:rtl w:val="0"/>
      </w:rPr>
      <w:t xml:space="preserve"> | </w:t>
    </w:r>
    <w:hyperlink r:id="rId3">
      <w:r w:rsidDel="00000000" w:rsidR="00000000" w:rsidRPr="00000000">
        <w:rPr>
          <w:rFonts w:ascii="Gill Sans" w:cs="Gill Sans" w:eastAsia="Gill Sans" w:hAnsi="Gill Sans"/>
          <w:color w:val="1155cc"/>
          <w:sz w:val="28"/>
          <w:szCs w:val="28"/>
          <w:u w:val="single"/>
          <w:rtl w:val="0"/>
        </w:rPr>
        <w:t xml:space="preserve">linkedin.com/in/mannphil</w:t>
      </w:r>
    </w:hyperlink>
    <w:r w:rsidDel="00000000" w:rsidR="00000000" w:rsidRPr="00000000">
      <w:rPr>
        <w:rFonts w:ascii="Gill Sans" w:cs="Gill Sans" w:eastAsia="Gill Sans" w:hAnsi="Gill Sans"/>
        <w:sz w:val="28"/>
        <w:szCs w:val="28"/>
        <w:rtl w:val="0"/>
      </w:rPr>
      <w:t xml:space="preserve"> | </w:t>
    </w:r>
    <w:hyperlink r:id="rId4">
      <w:r w:rsidDel="00000000" w:rsidR="00000000" w:rsidRPr="00000000">
        <w:rPr>
          <w:rFonts w:ascii="Gill Sans" w:cs="Gill Sans" w:eastAsia="Gill Sans" w:hAnsi="Gill Sans"/>
          <w:color w:val="1155cc"/>
          <w:sz w:val="28"/>
          <w:szCs w:val="28"/>
          <w:u w:val="single"/>
          <w:rtl w:val="0"/>
        </w:rPr>
        <w:t xml:space="preserve">phil-mann.com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linkedin.com/in/mannphi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CaslonText-regular.ttf"/><Relationship Id="rId2" Type="http://schemas.openxmlformats.org/officeDocument/2006/relationships/font" Target="fonts/LibreCaslonText-bold.ttf"/><Relationship Id="rId3" Type="http://schemas.openxmlformats.org/officeDocument/2006/relationships/font" Target="fonts/LibreCaslonText-italic.ttf"/><Relationship Id="rId4" Type="http://schemas.openxmlformats.org/officeDocument/2006/relationships/font" Target="fonts/GillSans-regular.ttf"/><Relationship Id="rId5" Type="http://schemas.openxmlformats.org/officeDocument/2006/relationships/font" Target="fonts/Gill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tel:+16784285973" TargetMode="External"/><Relationship Id="rId2" Type="http://schemas.openxmlformats.org/officeDocument/2006/relationships/hyperlink" Target="mailto:hello@phil-mann.com" TargetMode="External"/><Relationship Id="rId3" Type="http://schemas.openxmlformats.org/officeDocument/2006/relationships/hyperlink" Target="http://linkedin.com/in/mannphil" TargetMode="External"/><Relationship Id="rId4" Type="http://schemas.openxmlformats.org/officeDocument/2006/relationships/hyperlink" Target="http://phil-mann.com/mark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